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360" w:lineRule="auto"/>
        <w:jc w:val="center"/>
        <w:outlineLvl w:val="0"/>
        <w:rPr>
          <w:rFonts w:ascii="宋体" w:hAnsi="宋体" w:cs="黑体"/>
          <w:b/>
          <w:sz w:val="28"/>
          <w:szCs w:val="28"/>
        </w:rPr>
      </w:pPr>
      <w:bookmarkStart w:id="0" w:name="_Toc462789220"/>
      <w:bookmarkStart w:id="1" w:name="_Toc27707"/>
      <w:bookmarkStart w:id="2" w:name="_Toc395518776"/>
      <w:bookmarkStart w:id="3" w:name="_Toc8523"/>
      <w:r>
        <w:rPr>
          <w:rFonts w:ascii="宋体" w:hAnsi="宋体" w:cs="黑体"/>
          <w:b/>
          <w:sz w:val="28"/>
          <w:szCs w:val="28"/>
        </w:rPr>
        <w:t>附件 1</w:t>
      </w:r>
      <w:r>
        <w:rPr>
          <w:rFonts w:hint="eastAsia" w:ascii="宋体" w:hAnsi="宋体" w:cs="黑体"/>
          <w:b/>
          <w:sz w:val="28"/>
          <w:szCs w:val="28"/>
        </w:rPr>
        <w:t>：</w:t>
      </w:r>
      <w:r>
        <w:rPr>
          <w:rFonts w:ascii="宋体" w:hAnsi="宋体" w:cs="黑体"/>
          <w:b/>
          <w:sz w:val="28"/>
          <w:szCs w:val="28"/>
        </w:rPr>
        <w:t>第十</w:t>
      </w:r>
      <w:r>
        <w:rPr>
          <w:rFonts w:hint="eastAsia" w:ascii="宋体" w:hAnsi="宋体" w:cs="黑体"/>
          <w:b/>
          <w:sz w:val="28"/>
          <w:szCs w:val="28"/>
          <w:lang w:eastAsia="zh-CN"/>
        </w:rPr>
        <w:t>六</w:t>
      </w:r>
      <w:r>
        <w:rPr>
          <w:rFonts w:ascii="宋体" w:hAnsi="宋体" w:cs="黑体"/>
          <w:b/>
          <w:sz w:val="28"/>
          <w:szCs w:val="28"/>
        </w:rPr>
        <w:t>届“新生杯”征文比赛评分标准</w:t>
      </w:r>
    </w:p>
    <w:p>
      <w:pPr>
        <w:spacing w:line="200" w:lineRule="exact"/>
        <w:rPr>
          <w:rFonts w:ascii="Times New Roman" w:hAnsi="Times New Roman" w:eastAsia="Times New Roman"/>
          <w:sz w:val="28"/>
          <w:szCs w:val="28"/>
        </w:rPr>
      </w:pPr>
    </w:p>
    <w:p>
      <w:pPr>
        <w:spacing w:line="226" w:lineRule="exact"/>
        <w:rPr>
          <w:rFonts w:ascii="Times New Roman" w:hAnsi="Times New Roman" w:eastAsia="Times New Roman"/>
          <w:sz w:val="28"/>
          <w:szCs w:val="28"/>
        </w:rPr>
      </w:pPr>
    </w:p>
    <w:tbl>
      <w:tblPr>
        <w:tblStyle w:val="4"/>
        <w:tblW w:w="97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80"/>
        <w:gridCol w:w="2340"/>
        <w:gridCol w:w="2320"/>
        <w:gridCol w:w="1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w w:val="95"/>
                <w:sz w:val="28"/>
                <w:szCs w:val="28"/>
              </w:rPr>
            </w:pPr>
            <w:r>
              <w:rPr>
                <w:rFonts w:ascii="宋体" w:hAnsi="宋体"/>
                <w:w w:val="95"/>
                <w:sz w:val="28"/>
                <w:szCs w:val="28"/>
              </w:rPr>
              <w:t>A（50—60 分）</w:t>
            </w:r>
          </w:p>
        </w:tc>
        <w:tc>
          <w:tcPr>
            <w:tcW w:w="23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w w:val="96"/>
                <w:sz w:val="28"/>
                <w:szCs w:val="28"/>
              </w:rPr>
            </w:pPr>
            <w:r>
              <w:rPr>
                <w:rFonts w:ascii="宋体" w:hAnsi="宋体"/>
                <w:w w:val="96"/>
                <w:sz w:val="28"/>
                <w:szCs w:val="28"/>
              </w:rPr>
              <w:t>B（30—50 分）</w:t>
            </w:r>
          </w:p>
        </w:tc>
        <w:tc>
          <w:tcPr>
            <w:tcW w:w="23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w w:val="95"/>
                <w:sz w:val="28"/>
                <w:szCs w:val="28"/>
              </w:rPr>
            </w:pPr>
            <w:r>
              <w:rPr>
                <w:rFonts w:ascii="宋体" w:hAnsi="宋体"/>
                <w:w w:val="95"/>
                <w:sz w:val="28"/>
                <w:szCs w:val="28"/>
              </w:rPr>
              <w:t>C（20—30 分）</w:t>
            </w:r>
          </w:p>
        </w:tc>
        <w:tc>
          <w:tcPr>
            <w:tcW w:w="1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100"/>
              <w:rPr>
                <w:rFonts w:ascii="宋体" w:hAnsi="宋体"/>
                <w:w w:val="92"/>
                <w:sz w:val="28"/>
                <w:szCs w:val="28"/>
              </w:rPr>
            </w:pPr>
            <w:r>
              <w:rPr>
                <w:rFonts w:ascii="宋体" w:hAnsi="宋体"/>
                <w:w w:val="92"/>
                <w:sz w:val="28"/>
                <w:szCs w:val="28"/>
              </w:rPr>
              <w:t>D（0—10 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2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主题明确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符合主题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偏离题意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中心突出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中心明确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基础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中心不明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严重跑题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内容充实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内容较充实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部分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结构松散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文理不通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结构严谨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结构完整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（60分）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条理不清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杂乱无章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语言通顺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偶有病句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语病较多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善用修辞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善用修辞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2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w w:val="95"/>
                <w:sz w:val="28"/>
                <w:szCs w:val="28"/>
              </w:rPr>
            </w:pPr>
            <w:r>
              <w:rPr>
                <w:rFonts w:ascii="宋体" w:hAnsi="宋体"/>
                <w:w w:val="95"/>
                <w:sz w:val="28"/>
                <w:szCs w:val="28"/>
              </w:rPr>
              <w:t>A（35—40 分）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w w:val="96"/>
                <w:sz w:val="28"/>
                <w:szCs w:val="28"/>
              </w:rPr>
            </w:pPr>
            <w:r>
              <w:rPr>
                <w:rFonts w:ascii="宋体" w:hAnsi="宋体"/>
                <w:w w:val="96"/>
                <w:sz w:val="28"/>
                <w:szCs w:val="28"/>
              </w:rPr>
              <w:t>B（25—35 分）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w w:val="95"/>
                <w:sz w:val="28"/>
                <w:szCs w:val="28"/>
              </w:rPr>
            </w:pPr>
            <w:r>
              <w:rPr>
                <w:rFonts w:ascii="宋体" w:hAnsi="宋体"/>
                <w:w w:val="95"/>
                <w:sz w:val="28"/>
                <w:szCs w:val="28"/>
              </w:rPr>
              <w:t>C（10—25 分）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100"/>
              <w:rPr>
                <w:rFonts w:ascii="宋体" w:hAnsi="宋体"/>
                <w:w w:val="92"/>
                <w:sz w:val="28"/>
                <w:szCs w:val="28"/>
              </w:rPr>
            </w:pPr>
            <w:r>
              <w:rPr>
                <w:rFonts w:ascii="宋体" w:hAnsi="宋体"/>
                <w:w w:val="92"/>
                <w:sz w:val="28"/>
                <w:szCs w:val="28"/>
              </w:rPr>
              <w:t>D（0—10 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2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立意新颖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立意明确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发展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构思巧妙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形象较丰满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内容空洞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内容空洞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部分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思想深邃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文句较有意蕴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文笔一般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w w:val="99"/>
                <w:sz w:val="28"/>
                <w:szCs w:val="28"/>
              </w:rPr>
            </w:pPr>
            <w:r>
              <w:rPr>
                <w:rFonts w:ascii="宋体" w:hAnsi="宋体"/>
                <w:w w:val="99"/>
                <w:sz w:val="28"/>
                <w:szCs w:val="28"/>
              </w:rPr>
              <w:t>文笔差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（40分）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文句优美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311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文笔一般</w:t>
            </w:r>
          </w:p>
        </w:tc>
        <w:tc>
          <w:tcPr>
            <w:tcW w:w="23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12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ascii="Times New Roman" w:hAnsi="Times New Roman" w:eastAsia="Times New Roman"/>
          <w:sz w:val="28"/>
          <w:szCs w:val="28"/>
        </w:rPr>
      </w:pPr>
    </w:p>
    <w:p>
      <w:pPr>
        <w:spacing w:line="200" w:lineRule="exact"/>
        <w:rPr>
          <w:rFonts w:ascii="Times New Roman" w:hAnsi="Times New Roman" w:eastAsia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</w:t>
      </w:r>
      <w:r>
        <w:rPr>
          <w:rFonts w:ascii="宋体" w:hAnsi="宋体"/>
          <w:b/>
          <w:bCs/>
          <w:sz w:val="21"/>
          <w:szCs w:val="21"/>
        </w:rPr>
        <w:t>备注：为方便计分，分数请给出整数。总分数为两部分所给分数的总和。该评分标准仅供参考，评分者可酌情评分。如若出现严重抄袭现象，一概以 0 分处理，取消评选资格。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  <w:lang w:val="en-US" w:eastAsia="zh-CN"/>
        </w:rPr>
      </w:pPr>
    </w:p>
    <w:p>
      <w:pPr>
        <w:spacing w:before="240" w:beforeLines="100" w:after="240" w:afterLines="100" w:line="360" w:lineRule="auto"/>
        <w:jc w:val="center"/>
        <w:outlineLvl w:val="0"/>
        <w:rPr>
          <w:rFonts w:hint="eastAsia"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附件2：第十六届“新生杯”征文比赛学院推优作品汇总表</w:t>
      </w:r>
      <w:bookmarkEnd w:id="0"/>
      <w:bookmarkEnd w:id="1"/>
      <w:bookmarkEnd w:id="2"/>
      <w:bookmarkEnd w:id="3"/>
    </w:p>
    <w:p>
      <w:pPr>
        <w:spacing w:line="360" w:lineRule="auto"/>
        <w:ind w:left="200" w:leftChars="100" w:right="200" w:rightChars="100"/>
        <w:jc w:val="center"/>
        <w:rPr>
          <w:rFonts w:hint="eastAsia"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学院：____________        学院大一新生人数：____________</w:t>
      </w:r>
    </w:p>
    <w:p>
      <w:pPr>
        <w:spacing w:line="360" w:lineRule="auto"/>
        <w:ind w:left="200" w:leftChars="100" w:right="200" w:rightChars="100"/>
        <w:jc w:val="center"/>
        <w:rPr>
          <w:rFonts w:hint="eastAsia"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参赛总人数：____________  推优篇数：____________</w:t>
      </w:r>
    </w:p>
    <w:tbl>
      <w:tblPr>
        <w:tblStyle w:val="4"/>
        <w:tblW w:w="1022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专业班级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稿件名称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长/短号</w:t>
            </w: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before="240" w:beforeLines="100" w:line="360" w:lineRule="auto"/>
        <w:ind w:left="200" w:leftChars="100" w:right="200" w:rightChars="100"/>
        <w:jc w:val="center"/>
        <w:rPr>
          <w:rFonts w:hint="eastAsia"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审核人：____________   联系方式（长/短号）：____________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sz w:val="21"/>
          <w:szCs w:val="21"/>
        </w:rPr>
        <w:t xml:space="preserve">备注：表格不够填写，请自行添加。填完将此表与上交稿件电子版（推优作品）打包成rar格式，并把标题名为：“学院+第十六届新生杯征文”，发至邮箱： </w:t>
      </w:r>
      <w:r>
        <w:rPr>
          <w:rFonts w:ascii="宋体" w:hAnsi="宋体"/>
          <w:b/>
          <w:bCs/>
          <w:sz w:val="21"/>
          <w:szCs w:val="21"/>
        </w:rPr>
        <w:fldChar w:fldCharType="begin"/>
      </w:r>
      <w:r>
        <w:rPr>
          <w:rFonts w:ascii="宋体" w:hAnsi="宋体"/>
          <w:b/>
          <w:bCs/>
          <w:sz w:val="21"/>
          <w:szCs w:val="21"/>
        </w:rPr>
        <w:instrText xml:space="preserve"> HYPERLINK "mailto:</w:instrText>
      </w:r>
      <w:r>
        <w:rPr>
          <w:rFonts w:hint="eastAsia" w:ascii="宋体" w:hAnsi="宋体"/>
          <w:b/>
          <w:bCs/>
          <w:sz w:val="21"/>
          <w:szCs w:val="21"/>
        </w:rPr>
        <w:instrText xml:space="preserve">zktw2016@163.com</w:instrText>
      </w:r>
      <w:r>
        <w:rPr>
          <w:rFonts w:ascii="宋体" w:hAnsi="宋体"/>
          <w:b/>
          <w:bCs/>
          <w:sz w:val="21"/>
          <w:szCs w:val="21"/>
        </w:rPr>
        <w:instrText xml:space="preserve">" </w:instrText>
      </w:r>
      <w:r>
        <w:rPr>
          <w:rFonts w:ascii="宋体" w:hAnsi="宋体"/>
          <w:b/>
          <w:bCs/>
          <w:sz w:val="21"/>
          <w:szCs w:val="21"/>
        </w:rPr>
        <w:fldChar w:fldCharType="separate"/>
      </w:r>
      <w:r>
        <w:rPr>
          <w:rFonts w:hint="eastAsia" w:ascii="宋体" w:hAnsi="宋体"/>
          <w:b/>
          <w:bCs/>
          <w:sz w:val="21"/>
          <w:szCs w:val="21"/>
        </w:rPr>
        <w:t>zktw2016@163.com</w:t>
      </w:r>
      <w:r>
        <w:rPr>
          <w:rFonts w:ascii="宋体" w:hAnsi="宋体"/>
          <w:b/>
          <w:bCs/>
          <w:sz w:val="21"/>
          <w:szCs w:val="21"/>
        </w:rPr>
        <w:fldChar w:fldCharType="end"/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）</w:t>
      </w:r>
    </w:p>
    <w:p>
      <w:pPr>
        <w:spacing w:before="240" w:beforeLines="100" w:after="240" w:afterLines="100" w:line="360" w:lineRule="auto"/>
        <w:jc w:val="both"/>
        <w:outlineLvl w:val="0"/>
        <w:rPr>
          <w:rFonts w:hint="eastAsia" w:ascii="宋体" w:hAnsi="宋体" w:cs="黑体"/>
          <w:b/>
          <w:sz w:val="28"/>
          <w:szCs w:val="28"/>
        </w:rPr>
      </w:pPr>
      <w:bookmarkStart w:id="4" w:name="_Toc462789221"/>
      <w:bookmarkStart w:id="5" w:name="_Toc17989"/>
      <w:bookmarkStart w:id="6" w:name="_Toc22400"/>
      <w:bookmarkStart w:id="7" w:name="_Toc395518777"/>
    </w:p>
    <w:p>
      <w:pPr>
        <w:spacing w:before="240" w:beforeLines="100" w:after="240" w:afterLines="100" w:line="360" w:lineRule="auto"/>
        <w:jc w:val="center"/>
        <w:outlineLvl w:val="0"/>
        <w:rPr>
          <w:rFonts w:hint="eastAsia"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附件3：第十六届“新生杯”征文比赛学院互评分数汇总表</w:t>
      </w:r>
      <w:bookmarkEnd w:id="4"/>
      <w:bookmarkEnd w:id="5"/>
      <w:bookmarkEnd w:id="6"/>
      <w:bookmarkEnd w:id="7"/>
    </w:p>
    <w:tbl>
      <w:tblPr>
        <w:tblStyle w:val="4"/>
        <w:tblW w:w="1021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5"/>
        <w:gridCol w:w="1705"/>
        <w:gridCol w:w="17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稿件名称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学院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专业班级</w:t>
            </w: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长/短号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ind w:right="200" w:rightChars="1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before="240" w:beforeLines="100" w:line="360" w:lineRule="auto"/>
        <w:ind w:left="200" w:leftChars="100" w:right="200" w:rightChars="100"/>
        <w:jc w:val="center"/>
        <w:rPr>
          <w:rFonts w:hint="eastAsia"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审核人：____________   联系方式（长/短号）：____________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（备注：表格不够填写，请自行添加。为确保结果公平性，建议采用多人评分取平均分的方式得出最终分数。填完此表请发至邮箱：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fldChar w:fldCharType="begin"/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instrText xml:space="preserve"> HYPERLINK "mailto:zktw2016@163.com" </w:instrTex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fldChar w:fldCharType="separate"/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zktw2016@163.com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fldChar w:fldCharType="end"/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sz w:val="21"/>
          <w:szCs w:val="21"/>
          <w:lang w:eastAsia="zh-CN"/>
        </w:rPr>
      </w:pPr>
    </w:p>
    <w:p>
      <w:pPr>
        <w:spacing w:line="305" w:lineRule="exact"/>
        <w:jc w:val="center"/>
        <w:rPr>
          <w:rFonts w:hint="eastAsia" w:ascii="Times New Roman" w:hAnsi="Times New Roman"/>
          <w:sz w:val="28"/>
          <w:szCs w:val="28"/>
        </w:rPr>
      </w:pPr>
    </w:p>
    <w:p>
      <w:pPr>
        <w:spacing w:before="240" w:beforeLines="100" w:after="240" w:afterLines="100" w:line="360" w:lineRule="auto"/>
        <w:jc w:val="both"/>
        <w:outlineLvl w:val="0"/>
        <w:rPr>
          <w:rFonts w:hint="eastAsia" w:ascii="宋体" w:hAnsi="宋体" w:cs="黑体"/>
          <w:b/>
          <w:sz w:val="28"/>
          <w:szCs w:val="28"/>
        </w:rPr>
      </w:pPr>
      <w:bookmarkStart w:id="8" w:name="_Toc79"/>
      <w:bookmarkStart w:id="9" w:name="_Toc15478"/>
      <w:bookmarkStart w:id="10" w:name="_Toc462789222"/>
      <w:bookmarkStart w:id="11" w:name="_Toc395518778"/>
    </w:p>
    <w:p>
      <w:pPr>
        <w:spacing w:before="240" w:beforeLines="100" w:after="240" w:afterLines="100" w:line="360" w:lineRule="auto"/>
        <w:jc w:val="center"/>
        <w:outlineLvl w:val="0"/>
        <w:rPr>
          <w:rFonts w:hint="eastAsia"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附件4：第十六届“新生杯”征文比赛“优秀组织奖”评奖标准</w:t>
      </w:r>
      <w:bookmarkEnd w:id="8"/>
      <w:bookmarkEnd w:id="9"/>
      <w:bookmarkEnd w:id="10"/>
      <w:bookmarkEnd w:id="11"/>
    </w:p>
    <w:tbl>
      <w:tblPr>
        <w:tblStyle w:val="4"/>
        <w:tblW w:w="904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8"/>
        <w:gridCol w:w="6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708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评奖项目</w:t>
            </w:r>
          </w:p>
        </w:tc>
        <w:tc>
          <w:tcPr>
            <w:tcW w:w="6333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8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工作态度（10%）</w:t>
            </w:r>
          </w:p>
        </w:tc>
        <w:tc>
          <w:tcPr>
            <w:tcW w:w="633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初始分为60分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扣分 会议迟到扣10分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会议无故缺席扣20分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资料缓交（每天扣20分，扣完为止）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资料不齐全（缺一项扣10分）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加分 资料早交（每天加20分，上限40分）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8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宣传（30%）</w:t>
            </w:r>
          </w:p>
        </w:tc>
        <w:tc>
          <w:tcPr>
            <w:tcW w:w="633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初始分为60分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扣分 学院没发相关宣传微博、微信扣20分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学院审稿没照相发微博、微信扣20分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加分 学院内部开专题会议并发微博加10分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学院发动学院班级发布相关微博（每班加5分，上限为20分）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其它形式的宣传（每项加5分，上限为10分）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8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参赛情况（30%）</w:t>
            </w:r>
          </w:p>
        </w:tc>
        <w:tc>
          <w:tcPr>
            <w:tcW w:w="633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参赛人数占大一新生总数25%以上，100分；占20%—25%（不含25%），90分；占15%—20%（不含20%），80分；占10%—15%（不含15%），70分；低于10%，60分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8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“最受读者欢迎奖”参与情况（10%）</w:t>
            </w:r>
          </w:p>
        </w:tc>
        <w:tc>
          <w:tcPr>
            <w:tcW w:w="633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初始分为60分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扣分 学院对该奖项不重视，不积极发动学院同学参与微信投票扣30分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加分 学院同学获得该奖项（每人加20分，上限为40分）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8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获奖情况（20%）</w:t>
            </w:r>
          </w:p>
        </w:tc>
        <w:tc>
          <w:tcPr>
            <w:tcW w:w="6333" w:type="dxa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上限为100分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加分 一等奖每篇加40分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二等奖每篇加30分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三等奖每篇加20分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     优秀奖每篇加10分</w:t>
            </w:r>
          </w:p>
        </w:tc>
      </w:tr>
    </w:tbl>
    <w:p>
      <w:pPr>
        <w:spacing w:line="305" w:lineRule="exact"/>
        <w:jc w:val="center"/>
        <w:rPr>
          <w:rFonts w:hint="eastAsia" w:ascii="Times New Roman" w:hAnsi="Times New Roman"/>
          <w:sz w:val="28"/>
          <w:szCs w:val="28"/>
        </w:rPr>
      </w:pP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683C"/>
    <w:rsid w:val="5EFD6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2016-10-21T07:20:00Z</dcterms:created>
  <dc:creator>Administrator</dc:creator>
  <cp:lastModifiedBy>Administrator</cp:lastModifiedBy>
  <dcterms:modified xsi:type="dcterms:W3CDTF">2016-10-21T07:21:33Z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